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829C" w14:textId="77777777" w:rsidR="005A76FB" w:rsidRPr="004B64EF" w:rsidRDefault="00C853E5" w:rsidP="00B70AA3">
      <w:pPr>
        <w:spacing w:after="0" w:line="240" w:lineRule="auto"/>
        <w:jc w:val="both"/>
        <w:rPr>
          <w:sz w:val="22"/>
        </w:rPr>
      </w:pPr>
      <w:bookmarkStart w:id="0" w:name="1"/>
      <w:bookmarkEnd w:id="0"/>
      <w:r w:rsidRPr="004B64EF">
        <w:rPr>
          <w:noProof/>
          <w:sz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30D82C9" wp14:editId="630D82CA">
            <wp:simplePos x="0" y="0"/>
            <wp:positionH relativeFrom="column">
              <wp:posOffset>-123190</wp:posOffset>
            </wp:positionH>
            <wp:positionV relativeFrom="paragraph">
              <wp:posOffset>-66040</wp:posOffset>
            </wp:positionV>
            <wp:extent cx="2419350" cy="1057275"/>
            <wp:effectExtent l="19050" t="0" r="0" b="0"/>
            <wp:wrapNone/>
            <wp:docPr id="3" name="Image 0" descr="Cross Caritas Africa ré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aritas Africa rédu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D829D" w14:textId="77777777" w:rsidR="005A76FB" w:rsidRPr="004B64EF" w:rsidRDefault="00000000" w:rsidP="00B70AA3">
      <w:pPr>
        <w:spacing w:after="0" w:line="240" w:lineRule="auto"/>
        <w:jc w:val="both"/>
        <w:rPr>
          <w:sz w:val="22"/>
        </w:rPr>
      </w:pPr>
    </w:p>
    <w:p w14:paraId="630D829E" w14:textId="77777777" w:rsidR="005A76FB" w:rsidRPr="004B64EF" w:rsidRDefault="00000000" w:rsidP="00B70AA3">
      <w:pPr>
        <w:spacing w:after="0" w:line="240" w:lineRule="auto"/>
        <w:jc w:val="both"/>
        <w:rPr>
          <w:sz w:val="22"/>
        </w:rPr>
      </w:pPr>
    </w:p>
    <w:p w14:paraId="630D829F" w14:textId="77777777" w:rsidR="005A76FB" w:rsidRPr="004B64EF" w:rsidRDefault="00000000" w:rsidP="00B70AA3">
      <w:pPr>
        <w:spacing w:after="0" w:line="240" w:lineRule="auto"/>
        <w:jc w:val="both"/>
        <w:rPr>
          <w:sz w:val="22"/>
        </w:rPr>
      </w:pPr>
    </w:p>
    <w:p w14:paraId="630D82A0" w14:textId="77777777" w:rsidR="00C853E5" w:rsidRPr="004B64EF" w:rsidRDefault="00C853E5" w:rsidP="00B70AA3">
      <w:pPr>
        <w:spacing w:after="0" w:line="240" w:lineRule="auto"/>
        <w:jc w:val="both"/>
        <w:rPr>
          <w:sz w:val="22"/>
        </w:rPr>
      </w:pPr>
    </w:p>
    <w:p w14:paraId="630D82A1" w14:textId="77777777" w:rsidR="00C853E5" w:rsidRPr="004B64EF" w:rsidRDefault="00C853E5" w:rsidP="00B70AA3">
      <w:pPr>
        <w:spacing w:after="0" w:line="240" w:lineRule="auto"/>
        <w:jc w:val="both"/>
        <w:rPr>
          <w:sz w:val="22"/>
        </w:rPr>
      </w:pPr>
    </w:p>
    <w:p w14:paraId="630D82A2" w14:textId="77777777" w:rsidR="00C853E5" w:rsidRPr="004B64EF" w:rsidRDefault="00C853E5" w:rsidP="00B70AA3">
      <w:pPr>
        <w:spacing w:after="0" w:line="240" w:lineRule="auto"/>
        <w:jc w:val="both"/>
        <w:rPr>
          <w:sz w:val="22"/>
        </w:rPr>
      </w:pPr>
    </w:p>
    <w:p w14:paraId="630D82A3" w14:textId="77777777" w:rsidR="005A76FB" w:rsidRPr="004B64EF" w:rsidRDefault="00F94E9C" w:rsidP="00BC777A">
      <w:pPr>
        <w:spacing w:after="0" w:line="240" w:lineRule="auto"/>
        <w:jc w:val="center"/>
        <w:rPr>
          <w:sz w:val="22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>Politique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 xml:space="preserve"> </w:t>
      </w:r>
      <w:r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>Anti</w:t>
      </w:r>
      <w:r w:rsidR="00C853E5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>‐Harcèlement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 xml:space="preserve"> </w:t>
      </w:r>
      <w:r w:rsidR="00C853E5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>de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 xml:space="preserve"> </w:t>
      </w:r>
      <w:r w:rsidR="00C853E5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>Caritas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8"/>
          <w:lang w:val="fr-FR"/>
        </w:rPr>
        <w:t xml:space="preserve"> Africa</w:t>
      </w:r>
    </w:p>
    <w:p w14:paraId="6FAEBF5D" w14:textId="77777777" w:rsidR="00D633C5" w:rsidRPr="002334A7" w:rsidRDefault="00D633C5" w:rsidP="00D633C5">
      <w:pPr>
        <w:autoSpaceDE w:val="0"/>
        <w:autoSpaceDN w:val="0"/>
        <w:adjustRightInd w:val="0"/>
        <w:spacing w:after="0" w:line="240" w:lineRule="auto"/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</w:pPr>
      <w:r w:rsidRPr="002334A7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Déclaration d’adhésion</w:t>
      </w:r>
    </w:p>
    <w:p w14:paraId="1DF038FD" w14:textId="30B08327" w:rsidR="00D633C5" w:rsidRDefault="00D633C5" w:rsidP="005A5FD0">
      <w:pPr>
        <w:autoSpaceDE w:val="0"/>
        <w:autoSpaceDN w:val="0"/>
        <w:adjustRightInd w:val="0"/>
        <w:spacing w:after="0" w:line="240" w:lineRule="auto"/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</w:pPr>
      <w:r w:rsidRPr="002334A7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 xml:space="preserve">Caritas </w:t>
      </w:r>
      <w:proofErr w:type="spellStart"/>
      <w:r w:rsidRPr="002334A7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Africa</w:t>
      </w:r>
      <w:proofErr w:type="spellEnd"/>
      <w:r w:rsidRPr="002334A7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 xml:space="preserve"> adhère </w:t>
      </w:r>
      <w:r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 xml:space="preserve">à la </w:t>
      </w:r>
      <w:r w:rsidRPr="001F228F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 xml:space="preserve">Politique </w:t>
      </w:r>
      <w:r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Anti</w:t>
      </w:r>
      <w:r w:rsidR="000D066B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-</w:t>
      </w:r>
      <w:proofErr w:type="spellStart"/>
      <w:r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Harcelement</w:t>
      </w:r>
      <w:proofErr w:type="spellEnd"/>
      <w:r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 xml:space="preserve"> de Caritas </w:t>
      </w:r>
      <w:proofErr w:type="spellStart"/>
      <w:r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Internationa</w:t>
      </w:r>
      <w:r w:rsidR="000D066B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lis</w:t>
      </w:r>
      <w:proofErr w:type="spellEnd"/>
      <w:r w:rsidR="005A5FD0">
        <w:rPr>
          <w:rFonts w:ascii="Poppins-SemiBold" w:hAnsi="Poppins-SemiBold" w:cs="Poppins-SemiBold"/>
          <w:bCs/>
          <w:color w:val="D03F2A"/>
          <w:sz w:val="28"/>
          <w:szCs w:val="28"/>
          <w:lang w:val="fr-FR"/>
        </w:rPr>
        <w:t>.</w:t>
      </w:r>
    </w:p>
    <w:p w14:paraId="630D82A4" w14:textId="77777777" w:rsidR="005A76FB" w:rsidRPr="004B64EF" w:rsidRDefault="00000000" w:rsidP="00B70AA3">
      <w:pPr>
        <w:spacing w:after="0" w:line="240" w:lineRule="auto"/>
        <w:ind w:left="113" w:firstLine="1843"/>
        <w:jc w:val="both"/>
        <w:rPr>
          <w:sz w:val="22"/>
          <w:lang w:val="fr-FR"/>
        </w:rPr>
      </w:pPr>
    </w:p>
    <w:p w14:paraId="630D82A6" w14:textId="77777777" w:rsidR="005A76FB" w:rsidRPr="004B64EF" w:rsidRDefault="00F94E9C" w:rsidP="00B70AA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2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Objectif</w:t>
      </w:r>
    </w:p>
    <w:p w14:paraId="630D82A7" w14:textId="77777777" w:rsidR="004B64EF" w:rsidRDefault="004B64EF" w:rsidP="00B70AA3">
      <w:pPr>
        <w:spacing w:after="0" w:line="240" w:lineRule="auto"/>
        <w:ind w:left="113"/>
        <w:jc w:val="both"/>
        <w:rPr>
          <w:rFonts w:ascii="Calibri" w:hAnsi="Calibri" w:cs="Calibri"/>
          <w:noProof/>
          <w:color w:val="000000"/>
          <w:sz w:val="24"/>
          <w:lang w:val="fr-FR"/>
        </w:rPr>
      </w:pPr>
    </w:p>
    <w:p w14:paraId="630D82A8" w14:textId="77777777" w:rsidR="005A76FB" w:rsidRPr="004B64EF" w:rsidRDefault="00B70AA3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Caritas Africa s’engage à assurer un milieu de travail qui soit professionnel et libre de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toute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intimidation,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hostilité,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humiliation,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persécution,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harcèlement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moral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tout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autre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affront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qui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z w:val="24"/>
          <w:lang w:val="fr-FR"/>
        </w:rPr>
        <w:t>pourrait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interférer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avec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rendement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au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travail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ou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dignité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personne.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A9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quel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qu’il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soit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–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verbal,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physique,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visuel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–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sera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pas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toléré.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Celui‐ci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comprend,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sans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toutefois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s’y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limiter,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basé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sur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race,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couleur,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religion,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idées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philosophiques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politiques,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sexe,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l’âge,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nationalité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l’ascendance,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handicap,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l’état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santé,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l’état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civil,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statut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d’ancien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combattant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tout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autre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statut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protégé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loi.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AA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l’égard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collègues,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d’homologues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personne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avec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nous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travaillons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est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également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interdit.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AB" w14:textId="77777777" w:rsidR="005A76FB" w:rsidRPr="004B64EF" w:rsidRDefault="00000000" w:rsidP="00B70AA3">
      <w:pPr>
        <w:spacing w:after="0" w:line="240" w:lineRule="auto"/>
        <w:ind w:left="113"/>
        <w:jc w:val="both"/>
        <w:rPr>
          <w:sz w:val="22"/>
          <w:lang w:val="fr-FR"/>
        </w:rPr>
      </w:pPr>
    </w:p>
    <w:p w14:paraId="630D82AC" w14:textId="77777777" w:rsidR="005A76FB" w:rsidRPr="004B64EF" w:rsidRDefault="00F94E9C" w:rsidP="00B70AA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Portée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</w:p>
    <w:p w14:paraId="630D82AD" w14:textId="77777777" w:rsidR="005A76FB" w:rsidRPr="004B64EF" w:rsidRDefault="00000000" w:rsidP="00B70AA3">
      <w:pPr>
        <w:spacing w:after="0" w:line="240" w:lineRule="auto"/>
        <w:ind w:left="113"/>
        <w:jc w:val="both"/>
        <w:rPr>
          <w:sz w:val="22"/>
          <w:lang w:val="fr-FR"/>
        </w:rPr>
      </w:pPr>
    </w:p>
    <w:p w14:paraId="630D82AE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Cette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politique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s’applique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l’ensemble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personnel</w:t>
      </w:r>
      <w:r w:rsidR="00BC777A" w:rsidRPr="004B64EF">
        <w:rPr>
          <w:rStyle w:val="Appelnotedebasdep"/>
          <w:rFonts w:ascii="Calibri" w:hAnsi="Calibri" w:cs="Calibri"/>
          <w:noProof/>
          <w:color w:val="000000"/>
          <w:spacing w:val="-1"/>
          <w:sz w:val="24"/>
          <w:lang w:val="fr-FR"/>
        </w:rPr>
        <w:footnoteReference w:id="1"/>
      </w:r>
      <w:r w:rsidR="00B70AA3" w:rsidRPr="004B64EF">
        <w:rPr>
          <w:rFonts w:ascii="Calibri" w:hAnsi="Calibri" w:cs="Calibri"/>
          <w:noProof/>
          <w:color w:val="000000"/>
          <w:spacing w:val="-1"/>
          <w:position w:val="10"/>
          <w:sz w:val="16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associés</w:t>
      </w:r>
      <w:r w:rsidR="00BC777A" w:rsidRPr="004B64EF">
        <w:rPr>
          <w:rStyle w:val="Appelnotedebasdep"/>
          <w:rFonts w:ascii="Calibri" w:hAnsi="Calibri" w:cs="Calibri"/>
          <w:noProof/>
          <w:color w:val="000000"/>
          <w:spacing w:val="-1"/>
          <w:sz w:val="24"/>
          <w:lang w:val="fr-FR"/>
        </w:rPr>
        <w:footnoteReference w:id="2"/>
      </w:r>
      <w:r w:rsidR="00B70AA3" w:rsidRPr="004B64EF">
        <w:rPr>
          <w:rFonts w:ascii="Calibri" w:hAnsi="Calibri" w:cs="Calibri"/>
          <w:noProof/>
          <w:color w:val="000000"/>
          <w:spacing w:val="-1"/>
          <w:position w:val="10"/>
          <w:sz w:val="16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Internationalis.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AF" w14:textId="77777777" w:rsidR="005A76FB" w:rsidRPr="004B64EF" w:rsidRDefault="00000000" w:rsidP="00B70AA3">
      <w:pPr>
        <w:spacing w:after="0" w:line="240" w:lineRule="auto"/>
        <w:ind w:left="113"/>
        <w:jc w:val="both"/>
        <w:rPr>
          <w:sz w:val="22"/>
          <w:lang w:val="fr-FR"/>
        </w:rPr>
      </w:pPr>
    </w:p>
    <w:p w14:paraId="630D82B0" w14:textId="77777777" w:rsidR="005A76FB" w:rsidRPr="004B64EF" w:rsidRDefault="00F94E9C" w:rsidP="000115B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Définition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</w:p>
    <w:p w14:paraId="630D82B1" w14:textId="77777777" w:rsidR="004B64EF" w:rsidRPr="004B64EF" w:rsidRDefault="004B64EF" w:rsidP="00B70AA3">
      <w:pPr>
        <w:spacing w:after="0" w:line="240" w:lineRule="auto"/>
        <w:ind w:left="113"/>
        <w:jc w:val="both"/>
        <w:rPr>
          <w:rFonts w:ascii="Calibri" w:hAnsi="Calibri" w:cs="Calibri"/>
          <w:noProof/>
          <w:color w:val="000000"/>
          <w:spacing w:val="-1"/>
          <w:w w:val="95"/>
          <w:sz w:val="24"/>
          <w:lang w:val="fr-FR"/>
        </w:rPr>
      </w:pPr>
    </w:p>
    <w:p w14:paraId="630D82B2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spacing w:val="-1"/>
          <w:w w:val="95"/>
          <w:sz w:val="24"/>
          <w:lang w:val="fr-FR"/>
        </w:rPr>
        <w:t>Le</w:t>
      </w:r>
      <w:r w:rsidR="00B70AA3" w:rsidRPr="004B64EF">
        <w:rPr>
          <w:rFonts w:ascii="Calibri" w:hAnsi="Calibri" w:cs="Calibri"/>
          <w:b/>
          <w:noProof/>
          <w:color w:val="000000"/>
          <w:spacing w:val="-1"/>
          <w:w w:val="95"/>
          <w:sz w:val="24"/>
          <w:lang w:val="fr-FR"/>
        </w:rPr>
        <w:t xml:space="preserve"> </w:t>
      </w:r>
      <w:r w:rsidRPr="004B64EF">
        <w:rPr>
          <w:rFonts w:ascii="Calibri" w:hAnsi="Calibri" w:cs="Calibri"/>
          <w:b/>
          <w:noProof/>
          <w:color w:val="000000"/>
          <w:spacing w:val="-1"/>
          <w:w w:val="95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b/>
          <w:noProof/>
          <w:color w:val="000000"/>
          <w:spacing w:val="-1"/>
          <w:w w:val="95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prendre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diverses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formes.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s’agir,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mais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pas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exclusivement,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mots,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signes,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plaisanteries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blessantes,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caricatures,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photos,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posters,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plaisanteries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propos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adressés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</w:t>
      </w:r>
      <w:r w:rsidR="00C853E5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ail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farces,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d’intimidations,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d’agressions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contacts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physiques,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violence.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B3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25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n’est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pas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forcément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nature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sexuelle.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peut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prendre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également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forme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activité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verbale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comportant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propos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désobligeants,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non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adressés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directement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personne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ciblée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mais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B70AA3" w:rsidRPr="004B64EF">
        <w:rPr>
          <w:rFonts w:ascii="Calibri" w:hAnsi="Calibri" w:cs="Calibri"/>
          <w:noProof/>
          <w:color w:val="000000"/>
          <w:spacing w:val="-1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proférés</w:t>
      </w:r>
      <w:r w:rsidR="00B70AA3" w:rsidRPr="004B64EF">
        <w:rPr>
          <w:rFonts w:ascii="Calibri" w:hAnsi="Calibri" w:cs="Calibri"/>
          <w:noProof/>
          <w:color w:val="000000"/>
          <w:spacing w:val="-1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portée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voix.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Un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autre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type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comportement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interdit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consiste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exercer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représailles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l’égard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employé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qui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aurait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exposé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déposé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plainte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pour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harcèlement.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B4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z w:val="24"/>
          <w:lang w:val="fr-FR"/>
        </w:rPr>
        <w:t>Télécharger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images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textes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inappropriés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partir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systèmes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informatiques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est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également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contraire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politique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(se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référer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Politique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sauvegarde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lastRenderedPageBreak/>
        <w:t>Internationalis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pour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enfants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adultes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vulnérables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l’Annexe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–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Normes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conduite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l’égard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enfants).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</w:p>
    <w:p w14:paraId="630D82B5" w14:textId="77777777" w:rsidR="005A76FB" w:rsidRPr="004B64EF" w:rsidRDefault="00F94E9C" w:rsidP="00B70AA3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Le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sexuel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inclure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comportement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intempestif,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verbal,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non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verbal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physique,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connotation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sexuelle,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dans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but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avec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l’effet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porter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atteinte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dignité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personne,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notamment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lorsque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cela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contribue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créer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environnement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menaçant,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hostile,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avilissant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agressif.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s’agir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d’avances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sexuelles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malvenues,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demandes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faveurs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sexuelles,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autre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type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contact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verbal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physique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connotation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sexuelle.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est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important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noter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sexuel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tient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compte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limites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imposées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l’âge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sexe.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B6" w14:textId="77777777" w:rsidR="005A76FB" w:rsidRPr="004B64EF" w:rsidRDefault="00000000" w:rsidP="00B70AA3">
      <w:pPr>
        <w:spacing w:after="0" w:line="240" w:lineRule="auto"/>
        <w:ind w:left="113"/>
        <w:jc w:val="both"/>
        <w:rPr>
          <w:sz w:val="22"/>
          <w:lang w:val="fr-FR"/>
        </w:rPr>
      </w:pPr>
    </w:p>
    <w:p w14:paraId="630D82B7" w14:textId="77777777" w:rsidR="005A76FB" w:rsidRPr="004B64EF" w:rsidRDefault="00F94E9C" w:rsidP="000115B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Responsabilité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</w:p>
    <w:p w14:paraId="630D82B8" w14:textId="77777777" w:rsidR="005A76FB" w:rsidRPr="004B64EF" w:rsidRDefault="00000000" w:rsidP="00B70AA3">
      <w:pPr>
        <w:spacing w:after="0" w:line="240" w:lineRule="auto"/>
        <w:ind w:left="113"/>
        <w:jc w:val="both"/>
        <w:rPr>
          <w:sz w:val="22"/>
          <w:lang w:val="fr-FR"/>
        </w:rPr>
      </w:pPr>
    </w:p>
    <w:p w14:paraId="630D82B9" w14:textId="77777777" w:rsidR="005A76FB" w:rsidRPr="004B64EF" w:rsidRDefault="00F94E9C" w:rsidP="00BC777A">
      <w:pPr>
        <w:spacing w:after="0" w:line="240" w:lineRule="auto"/>
        <w:ind w:left="113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employés,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notamment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direction,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responsabilité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maintenir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milieu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travail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libre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type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employé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aurait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connaissance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incident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matière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bookmarkStart w:id="1" w:name="2"/>
      <w:bookmarkEnd w:id="1"/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soit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comme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témoin,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soit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ouï‐dire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pour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avoir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été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victime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lui‐même,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est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fortement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encouragé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faire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rapport,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conformément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Procédure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traitement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plaintes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Africa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.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Lorsque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dirigeants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prennent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conscience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d’éventuels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cas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harcèlement,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ils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doivent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B70AA3" w:rsidRPr="004B64EF">
        <w:rPr>
          <w:rFonts w:ascii="Calibri" w:hAnsi="Calibri" w:cs="Calibri"/>
          <w:noProof/>
          <w:color w:val="000000"/>
          <w:w w:val="47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immédiatement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porter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cela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connaissance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l’agent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responsable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traitement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plaintes.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BA" w14:textId="77777777" w:rsidR="005A76FB" w:rsidRPr="004B64EF" w:rsidRDefault="00F94E9C" w:rsidP="00B70AA3">
      <w:pPr>
        <w:spacing w:after="0" w:line="240" w:lineRule="auto"/>
        <w:ind w:left="112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part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personnel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associé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Caritas,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personne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avec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laquelle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nous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B70AA3" w:rsidRPr="004B64EF">
        <w:rPr>
          <w:rFonts w:ascii="Calibri" w:hAnsi="Calibri" w:cs="Calibri"/>
          <w:noProof/>
          <w:color w:val="000000"/>
          <w:w w:val="16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travaillons,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doit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immédiatement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faire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l’objet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rapport,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conformément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Procédure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traitement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plaintes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>Africa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Lorsque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direction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prend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conscience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éventuel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harcèlement,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elle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est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tenue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par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loi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prendre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rapidement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>mesures</w:t>
      </w:r>
      <w:r w:rsidR="00B70AA3" w:rsidRPr="004B64EF">
        <w:rPr>
          <w:rFonts w:ascii="Calibri" w:hAnsi="Calibri" w:cs="Calibri"/>
          <w:noProof/>
          <w:color w:val="000000"/>
          <w:spacing w:val="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appropriées,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même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si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la(les)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personne(s)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affectée(s)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souhaite(nt)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que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fasse.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BB" w14:textId="77777777" w:rsidR="005A76FB" w:rsidRPr="004B64EF" w:rsidRDefault="00000000" w:rsidP="00B70AA3">
      <w:pPr>
        <w:spacing w:after="0" w:line="240" w:lineRule="auto"/>
        <w:ind w:left="112"/>
        <w:jc w:val="both"/>
        <w:rPr>
          <w:sz w:val="22"/>
          <w:lang w:val="fr-FR"/>
        </w:rPr>
      </w:pPr>
    </w:p>
    <w:p w14:paraId="630D82BC" w14:textId="77777777" w:rsidR="005A76FB" w:rsidRPr="004B64EF" w:rsidRDefault="00F94E9C" w:rsidP="000115B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Rapport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</w:p>
    <w:p w14:paraId="630D82BD" w14:textId="77777777" w:rsidR="005A76FB" w:rsidRPr="004B64EF" w:rsidRDefault="00000000" w:rsidP="00B70AA3">
      <w:pPr>
        <w:spacing w:after="0" w:line="240" w:lineRule="auto"/>
        <w:ind w:left="112"/>
        <w:jc w:val="both"/>
        <w:rPr>
          <w:sz w:val="22"/>
          <w:lang w:val="fr-FR"/>
        </w:rPr>
      </w:pPr>
    </w:p>
    <w:p w14:paraId="630D82BE" w14:textId="77777777" w:rsidR="005A76FB" w:rsidRPr="004B64EF" w:rsidRDefault="00F94E9C" w:rsidP="00B70AA3">
      <w:pPr>
        <w:spacing w:after="0" w:line="240" w:lineRule="auto"/>
        <w:ind w:left="112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Il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est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essentiel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d’informer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immédiatement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l’agent</w:t>
      </w:r>
      <w:r w:rsidR="00AD716B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responsable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du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traitement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plaintes</w:t>
      </w:r>
      <w:r w:rsidR="00AD716B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AD716B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directeur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national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l’organisation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concernée,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même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si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l’on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n’est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sûr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que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comportement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agressif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puisse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être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qualifié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harcèlement.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incident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matière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doit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immédiatement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être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porté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connaissance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l’agent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responsable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traitement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plaintes.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enquête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appropriée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et,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s’il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y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lieu,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mesures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disciplinaires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seront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mises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en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place.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BF" w14:textId="77777777" w:rsidR="005A76FB" w:rsidRPr="004B64EF" w:rsidRDefault="00F94E9C" w:rsidP="00B70AA3">
      <w:pPr>
        <w:spacing w:after="0" w:line="240" w:lineRule="auto"/>
        <w:ind w:left="112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Tous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signalés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feront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l‘objet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d’une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enquête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rapide,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dans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respect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confidentialité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l’égard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personnes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concernées,</w:t>
      </w:r>
      <w:r w:rsidR="00AD716B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conformément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la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Procédure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traitement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plaintes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AD716B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Africa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.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</w:p>
    <w:p w14:paraId="630D82C0" w14:textId="77777777" w:rsidR="005A76FB" w:rsidRPr="004B64EF" w:rsidRDefault="00000000" w:rsidP="00B70AA3">
      <w:pPr>
        <w:spacing w:after="0" w:line="240" w:lineRule="auto"/>
        <w:ind w:left="112"/>
        <w:jc w:val="both"/>
        <w:rPr>
          <w:sz w:val="22"/>
          <w:lang w:val="fr-FR"/>
        </w:rPr>
      </w:pPr>
    </w:p>
    <w:p w14:paraId="630D82C1" w14:textId="77777777" w:rsidR="005A76FB" w:rsidRPr="004B64EF" w:rsidRDefault="00F94E9C" w:rsidP="000115B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</w:pPr>
      <w:r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>Représailles</w:t>
      </w:r>
      <w:r w:rsidR="00B70AA3" w:rsidRPr="004B64EF">
        <w:rPr>
          <w:rFonts w:ascii="Calibri" w:hAnsi="Calibri" w:cs="Calibri"/>
          <w:b/>
          <w:noProof/>
          <w:color w:val="000000"/>
          <w:w w:val="95"/>
          <w:sz w:val="24"/>
          <w:lang w:val="fr-FR"/>
        </w:rPr>
        <w:t xml:space="preserve"> </w:t>
      </w:r>
    </w:p>
    <w:p w14:paraId="630D82C2" w14:textId="77777777" w:rsidR="005A76FB" w:rsidRPr="004B64EF" w:rsidRDefault="00000000" w:rsidP="000115B5">
      <w:pPr>
        <w:spacing w:after="0" w:line="240" w:lineRule="auto"/>
        <w:jc w:val="both"/>
        <w:rPr>
          <w:rFonts w:ascii="Calibri" w:hAnsi="Calibri" w:cs="Calibri"/>
          <w:noProof/>
          <w:color w:val="000000"/>
          <w:w w:val="95"/>
          <w:sz w:val="24"/>
          <w:lang w:val="fr-FR"/>
        </w:rPr>
      </w:pPr>
    </w:p>
    <w:p w14:paraId="630D82C4" w14:textId="49B683A8" w:rsidR="005A76FB" w:rsidRPr="004B64EF" w:rsidRDefault="00F94E9C" w:rsidP="00681BA2">
      <w:pPr>
        <w:spacing w:after="0" w:line="240" w:lineRule="auto"/>
        <w:ind w:left="112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z w:val="24"/>
          <w:lang w:val="fr-FR"/>
        </w:rPr>
        <w:t>Caritas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="00AD716B" w:rsidRPr="004B64EF">
        <w:rPr>
          <w:rFonts w:ascii="Calibri" w:hAnsi="Calibri" w:cs="Calibri"/>
          <w:noProof/>
          <w:color w:val="000000"/>
          <w:sz w:val="24"/>
          <w:lang w:val="fr-FR"/>
        </w:rPr>
        <w:t>Africa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interdit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employés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toute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forme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représailles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l’égard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celui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aurait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fait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part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son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inquiétude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face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à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harcèlement,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sexuel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ou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discrimination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dont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serait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victime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tiers.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Aucune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mesure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répressive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sera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prise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vis‐à‐vis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d’un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employé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qui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aurait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soumis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de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bonne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foi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rapport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sur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un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prétendu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z w:val="24"/>
          <w:lang w:val="fr-FR"/>
        </w:rPr>
        <w:t>harcèlement.</w:t>
      </w:r>
      <w:r w:rsidR="00B70AA3" w:rsidRPr="004B64EF">
        <w:rPr>
          <w:rFonts w:ascii="Calibri" w:hAnsi="Calibri" w:cs="Calibri"/>
          <w:noProof/>
          <w:color w:val="000000"/>
          <w:sz w:val="24"/>
          <w:lang w:val="fr-FR"/>
        </w:rPr>
        <w:t xml:space="preserve"> </w:t>
      </w:r>
    </w:p>
    <w:p w14:paraId="630D82C5" w14:textId="77777777" w:rsidR="005A76FB" w:rsidRDefault="00000000" w:rsidP="004B64EF">
      <w:pPr>
        <w:tabs>
          <w:tab w:val="left" w:pos="6932"/>
        </w:tabs>
        <w:spacing w:after="0" w:line="240" w:lineRule="auto"/>
        <w:ind w:left="112"/>
        <w:jc w:val="both"/>
        <w:rPr>
          <w:sz w:val="22"/>
          <w:lang w:val="fr-FR"/>
        </w:rPr>
      </w:pPr>
    </w:p>
    <w:p w14:paraId="630D82C6" w14:textId="77777777" w:rsidR="004B64EF" w:rsidRDefault="004B64EF" w:rsidP="004B64EF">
      <w:pPr>
        <w:tabs>
          <w:tab w:val="left" w:pos="6932"/>
        </w:tabs>
        <w:spacing w:after="0" w:line="240" w:lineRule="auto"/>
        <w:ind w:left="112"/>
        <w:jc w:val="both"/>
        <w:rPr>
          <w:sz w:val="22"/>
          <w:lang w:val="fr-FR"/>
        </w:rPr>
      </w:pPr>
    </w:p>
    <w:p w14:paraId="630D82C7" w14:textId="77777777" w:rsidR="004B64EF" w:rsidRPr="004B64EF" w:rsidRDefault="004B64EF" w:rsidP="004B64EF">
      <w:pPr>
        <w:tabs>
          <w:tab w:val="left" w:pos="6932"/>
        </w:tabs>
        <w:spacing w:after="0" w:line="240" w:lineRule="auto"/>
        <w:ind w:left="112"/>
        <w:jc w:val="both"/>
        <w:rPr>
          <w:sz w:val="22"/>
          <w:lang w:val="fr-FR"/>
        </w:rPr>
      </w:pPr>
    </w:p>
    <w:p w14:paraId="630D82C8" w14:textId="77777777" w:rsidR="005A76FB" w:rsidRPr="004B64EF" w:rsidRDefault="00C853E5" w:rsidP="00B70AA3">
      <w:pPr>
        <w:spacing w:after="0" w:line="240" w:lineRule="auto"/>
        <w:ind w:left="112"/>
        <w:jc w:val="both"/>
        <w:rPr>
          <w:sz w:val="22"/>
          <w:lang w:val="fr-FR"/>
        </w:rPr>
      </w:pP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Approuvé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par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</w:t>
      </w:r>
      <w:r w:rsidR="00AD716B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a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Co</w:t>
      </w:r>
      <w:r w:rsidR="00AD716B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mmission Régionale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le</w:t>
      </w:r>
      <w:r w:rsidR="00B70AA3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 xml:space="preserve"> </w:t>
      </w:r>
      <w:r w:rsidR="00AD716B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…………………………………………………..</w:t>
      </w:r>
      <w:r w:rsidR="00F94E9C" w:rsidRPr="004B64EF">
        <w:rPr>
          <w:rFonts w:ascii="Calibri" w:hAnsi="Calibri" w:cs="Calibri"/>
          <w:noProof/>
          <w:color w:val="000000"/>
          <w:spacing w:val="-1"/>
          <w:sz w:val="24"/>
          <w:lang w:val="fr-FR"/>
        </w:rPr>
        <w:t>.</w:t>
      </w:r>
    </w:p>
    <w:sectPr w:rsidR="005A76FB" w:rsidRPr="004B64EF" w:rsidSect="004B64EF">
      <w:type w:val="continuous"/>
      <w:pgSz w:w="11904" w:h="16840"/>
      <w:pgMar w:top="1134" w:right="945" w:bottom="1161" w:left="1305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3BA8" w14:textId="77777777" w:rsidR="0029696C" w:rsidRDefault="0029696C" w:rsidP="00ED17D1">
      <w:pPr>
        <w:spacing w:after="0" w:line="240" w:lineRule="auto"/>
      </w:pPr>
      <w:r>
        <w:separator/>
      </w:r>
    </w:p>
  </w:endnote>
  <w:endnote w:type="continuationSeparator" w:id="0">
    <w:p w14:paraId="633AF9DC" w14:textId="77777777" w:rsidR="0029696C" w:rsidRDefault="0029696C" w:rsidP="00E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DE28" w14:textId="77777777" w:rsidR="0029696C" w:rsidRDefault="0029696C" w:rsidP="00ED17D1">
      <w:pPr>
        <w:spacing w:after="0" w:line="240" w:lineRule="auto"/>
      </w:pPr>
      <w:r>
        <w:separator/>
      </w:r>
    </w:p>
  </w:footnote>
  <w:footnote w:type="continuationSeparator" w:id="0">
    <w:p w14:paraId="4D63B40E" w14:textId="77777777" w:rsidR="0029696C" w:rsidRDefault="0029696C" w:rsidP="00ED17D1">
      <w:pPr>
        <w:spacing w:after="0" w:line="240" w:lineRule="auto"/>
      </w:pPr>
      <w:r>
        <w:continuationSeparator/>
      </w:r>
    </w:p>
  </w:footnote>
  <w:footnote w:id="1">
    <w:p w14:paraId="630D82CF" w14:textId="77777777" w:rsidR="00BC777A" w:rsidRPr="00BC777A" w:rsidRDefault="00BC777A" w:rsidP="00BC777A">
      <w:pPr>
        <w:spacing w:after="0" w:line="240" w:lineRule="auto"/>
        <w:jc w:val="both"/>
        <w:rPr>
          <w:lang w:val="fr-FR"/>
        </w:rPr>
      </w:pPr>
      <w:r>
        <w:rPr>
          <w:rStyle w:val="Appelnotedebasdep"/>
        </w:rPr>
        <w:footnoteRef/>
      </w:r>
      <w:r w:rsidRPr="00BC777A">
        <w:rPr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«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> 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Le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personnel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> 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»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se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réfère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au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personnel,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aux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volontaires,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aux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stagiaires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et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aux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membres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de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la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sz w:val="20"/>
          <w:lang w:val="fr-FR"/>
        </w:rPr>
        <w:t>gouvernance.</w:t>
      </w:r>
      <w:r>
        <w:rPr>
          <w:rFonts w:ascii="Calibri" w:hAnsi="Calibri" w:cs="Calibri"/>
          <w:noProof/>
          <w:color w:val="000000"/>
          <w:spacing w:val="-1"/>
          <w:sz w:val="20"/>
          <w:lang w:val="fr-FR"/>
        </w:rPr>
        <w:t xml:space="preserve"> </w:t>
      </w:r>
    </w:p>
  </w:footnote>
  <w:footnote w:id="2">
    <w:p w14:paraId="630D82D0" w14:textId="77777777" w:rsidR="00BC777A" w:rsidRPr="00BC777A" w:rsidRDefault="00BC777A" w:rsidP="00BC777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C777A">
        <w:rPr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«</w:t>
      </w:r>
      <w:r>
        <w:rPr>
          <w:rFonts w:ascii="Calibri" w:hAnsi="Calibri" w:cs="Calibri"/>
          <w:noProof/>
          <w:color w:val="000000"/>
          <w:spacing w:val="-1"/>
          <w:lang w:val="fr-FR"/>
        </w:rPr>
        <w:t> 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Les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associés</w:t>
      </w:r>
      <w:r>
        <w:rPr>
          <w:rFonts w:ascii="Calibri" w:hAnsi="Calibri" w:cs="Calibri"/>
          <w:noProof/>
          <w:color w:val="000000"/>
          <w:spacing w:val="-1"/>
          <w:lang w:val="fr-FR"/>
        </w:rPr>
        <w:t> 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»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se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réfère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aux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consultants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et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aux</w:t>
      </w:r>
      <w:r>
        <w:rPr>
          <w:rFonts w:ascii="Calibri" w:hAnsi="Calibri" w:cs="Calibri"/>
          <w:noProof/>
          <w:color w:val="000000"/>
          <w:spacing w:val="-1"/>
          <w:lang w:val="fr-FR"/>
        </w:rPr>
        <w:t xml:space="preserve"> </w:t>
      </w:r>
      <w:r w:rsidRPr="00C853E5">
        <w:rPr>
          <w:rFonts w:ascii="Calibri" w:hAnsi="Calibri" w:cs="Calibri"/>
          <w:noProof/>
          <w:color w:val="000000"/>
          <w:spacing w:val="-1"/>
          <w:lang w:val="fr-FR"/>
        </w:rPr>
        <w:t>prestataires.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01F3"/>
    <w:multiLevelType w:val="multilevel"/>
    <w:tmpl w:val="26ACE5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  <w:w w:val="95"/>
        <w:sz w:val="22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ascii="Calibri" w:hAnsi="Calibri" w:cs="Calibri" w:hint="default"/>
        <w:b/>
        <w:color w:val="000000"/>
        <w:w w:val="95"/>
        <w:sz w:val="22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ascii="Calibri" w:hAnsi="Calibri" w:cs="Calibri" w:hint="default"/>
        <w:b/>
        <w:color w:val="000000"/>
        <w:w w:val="95"/>
        <w:sz w:val="22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ascii="Calibri" w:hAnsi="Calibri" w:cs="Calibri" w:hint="default"/>
        <w:b/>
        <w:color w:val="000000"/>
        <w:w w:val="95"/>
        <w:sz w:val="22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ascii="Calibri" w:hAnsi="Calibri" w:cs="Calibri" w:hint="default"/>
        <w:b/>
        <w:color w:val="000000"/>
        <w:w w:val="95"/>
        <w:sz w:val="22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ascii="Calibri" w:hAnsi="Calibri" w:cs="Calibri" w:hint="default"/>
        <w:b/>
        <w:color w:val="000000"/>
        <w:w w:val="95"/>
        <w:sz w:val="22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ascii="Calibri" w:hAnsi="Calibri" w:cs="Calibri" w:hint="default"/>
        <w:b/>
        <w:color w:val="000000"/>
        <w:w w:val="95"/>
        <w:sz w:val="22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ascii="Calibri" w:hAnsi="Calibri" w:cs="Calibri" w:hint="default"/>
        <w:b/>
        <w:color w:val="000000"/>
        <w:w w:val="95"/>
        <w:sz w:val="22"/>
      </w:rPr>
    </w:lvl>
    <w:lvl w:ilvl="8">
      <w:start w:val="1"/>
      <w:numFmt w:val="decimal"/>
      <w:lvlText w:val="%1.%2.%3.%4.%5.%6.%7.%8.%9."/>
      <w:lvlJc w:val="left"/>
      <w:pPr>
        <w:ind w:left="2344" w:hanging="1440"/>
      </w:pPr>
      <w:rPr>
        <w:rFonts w:ascii="Calibri" w:hAnsi="Calibri" w:cs="Calibri" w:hint="default"/>
        <w:b/>
        <w:color w:val="000000"/>
        <w:w w:val="95"/>
        <w:sz w:val="22"/>
      </w:rPr>
    </w:lvl>
  </w:abstractNum>
  <w:num w:numId="1" w16cid:durableId="143983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115B5"/>
    <w:rsid w:val="000D066B"/>
    <w:rsid w:val="00142E93"/>
    <w:rsid w:val="0029696C"/>
    <w:rsid w:val="00325E2F"/>
    <w:rsid w:val="003E36CB"/>
    <w:rsid w:val="004B64EF"/>
    <w:rsid w:val="005A5FD0"/>
    <w:rsid w:val="00681BA2"/>
    <w:rsid w:val="007F1C1F"/>
    <w:rsid w:val="00AD716B"/>
    <w:rsid w:val="00B70AA3"/>
    <w:rsid w:val="00BC777A"/>
    <w:rsid w:val="00C853E5"/>
    <w:rsid w:val="00D633C5"/>
    <w:rsid w:val="00DA6A4E"/>
    <w:rsid w:val="00ED17D1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829C"/>
  <w15:docId w15:val="{2260CC7B-6EA2-47E1-BE7B-504B3F4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D17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3E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7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7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7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B4DB-2EE9-4A87-9C00-CC2DA4A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BEATRICE</dc:creator>
  <cp:lastModifiedBy>Pierre Kossi HOTONYO</cp:lastModifiedBy>
  <cp:revision>8</cp:revision>
  <dcterms:created xsi:type="dcterms:W3CDTF">2019-07-23T10:31:00Z</dcterms:created>
  <dcterms:modified xsi:type="dcterms:W3CDTF">2023-01-11T12:16:00Z</dcterms:modified>
</cp:coreProperties>
</file>